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51" w:rsidRPr="00281E50" w:rsidRDefault="005E679B" w:rsidP="00615251">
      <w:pPr>
        <w:pStyle w:val="Heading4"/>
        <w:shd w:val="clear" w:color="auto" w:fill="FFFFFF"/>
        <w:rPr>
          <w:rFonts w:ascii="Times New Roman" w:eastAsia="Times New Roman" w:hAnsi="Times New Roman"/>
          <w:caps/>
          <w:color w:val="111111"/>
          <w:sz w:val="22"/>
          <w:szCs w:val="22"/>
        </w:rPr>
      </w:pPr>
      <w:r w:rsidRPr="00281E50">
        <w:rPr>
          <w:rFonts w:ascii="Times New Roman" w:eastAsia="Times New Roman" w:hAnsi="Times New Roman"/>
          <w:caps/>
          <w:color w:val="111111"/>
          <w:sz w:val="22"/>
          <w:szCs w:val="22"/>
        </w:rPr>
        <w:t xml:space="preserve">REVENUE AND TAXATION </w:t>
      </w:r>
      <w:r w:rsidR="00615251" w:rsidRPr="00281E50">
        <w:rPr>
          <w:rFonts w:ascii="Times New Roman" w:eastAsia="Times New Roman" w:hAnsi="Times New Roman"/>
          <w:caps/>
          <w:color w:val="111111"/>
          <w:sz w:val="22"/>
          <w:szCs w:val="22"/>
        </w:rPr>
        <w:t xml:space="preserve">Code </w:t>
      </w:r>
    </w:p>
    <w:p w:rsidR="00615251" w:rsidRPr="00281E50" w:rsidRDefault="00615251" w:rsidP="00615251">
      <w:pPr>
        <w:pStyle w:val="Heading4"/>
        <w:shd w:val="clear" w:color="auto" w:fill="FFFFFF"/>
        <w:rPr>
          <w:rFonts w:ascii="Times New Roman" w:eastAsia="Times New Roman" w:hAnsi="Times New Roman"/>
          <w:caps/>
          <w:color w:val="111111"/>
          <w:sz w:val="22"/>
          <w:szCs w:val="22"/>
        </w:rPr>
      </w:pPr>
    </w:p>
    <w:p w:rsidR="00615251" w:rsidRPr="00281E50" w:rsidRDefault="00615251" w:rsidP="00065587">
      <w:pPr>
        <w:pStyle w:val="Heading4"/>
        <w:shd w:val="clear" w:color="auto" w:fill="FFFFFF"/>
        <w:jc w:val="both"/>
        <w:rPr>
          <w:rFonts w:ascii="Times New Roman" w:eastAsia="Times New Roman" w:hAnsi="Times New Roman"/>
          <w:color w:val="111111"/>
          <w:sz w:val="22"/>
          <w:szCs w:val="22"/>
        </w:rPr>
      </w:pPr>
      <w:proofErr w:type="gramStart"/>
      <w:r w:rsidRPr="00281E50">
        <w:rPr>
          <w:rFonts w:ascii="Times New Roman" w:eastAsia="Times New Roman" w:hAnsi="Times New Roman"/>
          <w:caps/>
          <w:color w:val="111111"/>
          <w:sz w:val="22"/>
          <w:szCs w:val="22"/>
        </w:rPr>
        <w:t xml:space="preserve">division </w:t>
      </w:r>
      <w:r w:rsidR="005E679B" w:rsidRPr="00281E50">
        <w:rPr>
          <w:rFonts w:ascii="Times New Roman" w:eastAsia="Times New Roman" w:hAnsi="Times New Roman"/>
          <w:caps/>
          <w:color w:val="111111"/>
          <w:sz w:val="22"/>
          <w:szCs w:val="22"/>
        </w:rPr>
        <w:t>1</w:t>
      </w:r>
      <w:r w:rsidRPr="00281E50">
        <w:rPr>
          <w:rFonts w:ascii="Times New Roman" w:eastAsia="Times New Roman" w:hAnsi="Times New Roman"/>
          <w:caps/>
          <w:color w:val="111111"/>
          <w:sz w:val="22"/>
          <w:szCs w:val="22"/>
        </w:rPr>
        <w:t>.</w:t>
      </w:r>
      <w:proofErr w:type="gramEnd"/>
      <w:r w:rsidRPr="00281E50">
        <w:rPr>
          <w:rFonts w:ascii="Times New Roman" w:eastAsia="Times New Roman" w:hAnsi="Times New Roman"/>
          <w:caps/>
          <w:color w:val="111111"/>
          <w:sz w:val="22"/>
          <w:szCs w:val="22"/>
        </w:rPr>
        <w:t xml:space="preserve"> – part </w:t>
      </w:r>
      <w:r w:rsidR="005E679B" w:rsidRPr="00281E50">
        <w:rPr>
          <w:rFonts w:ascii="Times New Roman" w:eastAsia="Times New Roman" w:hAnsi="Times New Roman"/>
          <w:caps/>
          <w:color w:val="111111"/>
          <w:sz w:val="22"/>
          <w:szCs w:val="22"/>
        </w:rPr>
        <w:t>6</w:t>
      </w:r>
      <w:r w:rsidRPr="00281E50">
        <w:rPr>
          <w:rFonts w:ascii="Times New Roman" w:eastAsia="Times New Roman" w:hAnsi="Times New Roman"/>
          <w:caps/>
          <w:color w:val="111111"/>
          <w:sz w:val="22"/>
          <w:szCs w:val="22"/>
        </w:rPr>
        <w:t xml:space="preserve">. – chapter </w:t>
      </w:r>
      <w:r w:rsidR="005E679B" w:rsidRPr="00281E50">
        <w:rPr>
          <w:rFonts w:ascii="Times New Roman" w:eastAsia="Times New Roman" w:hAnsi="Times New Roman"/>
          <w:caps/>
          <w:color w:val="111111"/>
          <w:sz w:val="22"/>
          <w:szCs w:val="22"/>
        </w:rPr>
        <w:t>1.</w:t>
      </w:r>
      <w:r w:rsidRPr="00281E50">
        <w:rPr>
          <w:rFonts w:ascii="Times New Roman" w:eastAsia="Times New Roman" w:hAnsi="Times New Roman"/>
          <w:caps/>
          <w:color w:val="111111"/>
          <w:sz w:val="22"/>
          <w:szCs w:val="22"/>
        </w:rPr>
        <w:t xml:space="preserve"> </w:t>
      </w:r>
      <w:r w:rsidR="006C790C" w:rsidRPr="00281E50">
        <w:rPr>
          <w:rFonts w:ascii="Times New Roman" w:eastAsia="Times New Roman" w:hAnsi="Times New Roman"/>
          <w:caps/>
          <w:color w:val="111111"/>
          <w:sz w:val="22"/>
          <w:szCs w:val="22"/>
        </w:rPr>
        <w:t xml:space="preserve">- </w:t>
      </w:r>
      <w:r w:rsidRPr="00281E50">
        <w:rPr>
          <w:rFonts w:ascii="Times New Roman" w:eastAsia="Times New Roman" w:hAnsi="Times New Roman"/>
          <w:color w:val="111111"/>
          <w:sz w:val="22"/>
          <w:szCs w:val="22"/>
        </w:rPr>
        <w:t xml:space="preserve">ARTICLE </w:t>
      </w:r>
      <w:r w:rsidR="005E679B" w:rsidRPr="00281E50">
        <w:rPr>
          <w:rFonts w:ascii="Times New Roman" w:eastAsia="Times New Roman" w:hAnsi="Times New Roman"/>
          <w:color w:val="111111"/>
          <w:sz w:val="22"/>
          <w:szCs w:val="22"/>
        </w:rPr>
        <w:t>1.5</w:t>
      </w:r>
      <w:r w:rsidRPr="00281E50">
        <w:rPr>
          <w:rFonts w:ascii="Times New Roman" w:eastAsia="Times New Roman" w:hAnsi="Times New Roman"/>
          <w:color w:val="111111"/>
          <w:sz w:val="22"/>
          <w:szCs w:val="22"/>
        </w:rPr>
        <w:t xml:space="preserve">. </w:t>
      </w:r>
    </w:p>
    <w:p w:rsidR="005E679B" w:rsidRPr="00281E50" w:rsidRDefault="005E679B" w:rsidP="005E679B">
      <w:pPr>
        <w:pStyle w:val="Heading5"/>
        <w:shd w:val="clear" w:color="auto" w:fill="FFFFFF"/>
        <w:rPr>
          <w:rFonts w:ascii="Times New Roman" w:hAnsi="Times New Roman" w:cs="Times New Roman"/>
          <w:sz w:val="22"/>
          <w:szCs w:val="22"/>
        </w:rPr>
      </w:pPr>
      <w:r w:rsidRPr="00281E50">
        <w:rPr>
          <w:rFonts w:ascii="Times New Roman" w:hAnsi="Times New Roman" w:cs="Times New Roman"/>
          <w:color w:val="111111"/>
          <w:sz w:val="22"/>
          <w:szCs w:val="22"/>
        </w:rPr>
        <w:t>Deeds to the State [3361 - 336</w:t>
      </w:r>
      <w:r w:rsidR="00281E50">
        <w:rPr>
          <w:rFonts w:ascii="Times New Roman" w:hAnsi="Times New Roman" w:cs="Times New Roman"/>
          <w:color w:val="111111"/>
          <w:sz w:val="22"/>
          <w:szCs w:val="22"/>
        </w:rPr>
        <w:t>2</w:t>
      </w:r>
      <w:r w:rsidRPr="00281E50">
        <w:rPr>
          <w:rFonts w:ascii="Times New Roman" w:hAnsi="Times New Roman" w:cs="Times New Roman"/>
          <w:color w:val="111111"/>
          <w:sz w:val="22"/>
          <w:szCs w:val="22"/>
        </w:rPr>
        <w:t>]</w:t>
      </w:r>
    </w:p>
    <w:p w:rsidR="005E679B" w:rsidRPr="00281E50" w:rsidRDefault="005E679B" w:rsidP="005E679B">
      <w:pPr>
        <w:shd w:val="clear" w:color="auto" w:fill="FFFFFF"/>
        <w:textAlignment w:val="baseline"/>
        <w:rPr>
          <w:color w:val="333333"/>
          <w:sz w:val="22"/>
          <w:szCs w:val="22"/>
        </w:rPr>
      </w:pPr>
      <w:proofErr w:type="gramStart"/>
      <w:r w:rsidRPr="00281E50">
        <w:rPr>
          <w:i/>
          <w:iCs/>
          <w:color w:val="333333"/>
          <w:sz w:val="22"/>
          <w:szCs w:val="22"/>
        </w:rPr>
        <w:t>( Article</w:t>
      </w:r>
      <w:proofErr w:type="gramEnd"/>
      <w:r w:rsidRPr="00281E50">
        <w:rPr>
          <w:i/>
          <w:iCs/>
          <w:color w:val="333333"/>
          <w:sz w:val="22"/>
          <w:szCs w:val="22"/>
        </w:rPr>
        <w:t xml:space="preserve"> 1.5 added by Stats. 1967, Ch. 894. )</w:t>
      </w:r>
    </w:p>
    <w:p w:rsidR="005E679B" w:rsidRPr="00281E50" w:rsidRDefault="005E679B" w:rsidP="005E679B">
      <w:pPr>
        <w:shd w:val="clear" w:color="auto" w:fill="FFFFFF"/>
        <w:textAlignment w:val="baseline"/>
        <w:rPr>
          <w:color w:val="333333"/>
          <w:sz w:val="22"/>
          <w:szCs w:val="22"/>
        </w:rPr>
      </w:pPr>
      <w:r w:rsidRPr="00281E50">
        <w:rPr>
          <w:color w:val="333333"/>
          <w:sz w:val="22"/>
          <w:szCs w:val="22"/>
        </w:rPr>
        <w:br/>
        <w:t>  </w:t>
      </w:r>
      <w:bookmarkStart w:id="0" w:name="_GoBack"/>
      <w:bookmarkEnd w:id="0"/>
    </w:p>
    <w:p w:rsidR="005E679B" w:rsidRPr="00281E50" w:rsidRDefault="005E679B" w:rsidP="00281E50">
      <w:pPr>
        <w:pStyle w:val="Heading6"/>
        <w:shd w:val="clear" w:color="auto" w:fill="FFFFFF"/>
        <w:jc w:val="both"/>
        <w:rPr>
          <w:rFonts w:ascii="Times New Roman" w:hAnsi="Times New Roman" w:cs="Times New Roman"/>
          <w:sz w:val="22"/>
          <w:szCs w:val="22"/>
          <w:bdr w:val="none" w:sz="0" w:space="0" w:color="auto" w:frame="1"/>
        </w:rPr>
      </w:pPr>
      <w:r w:rsidRPr="00281E50">
        <w:rPr>
          <w:rFonts w:ascii="Times New Roman" w:hAnsi="Times New Roman" w:cs="Times New Roman"/>
          <w:color w:val="111111"/>
          <w:sz w:val="22"/>
          <w:szCs w:val="22"/>
          <w:bdr w:val="none" w:sz="0" w:space="0" w:color="auto" w:frame="1"/>
        </w:rPr>
        <w:t>3361.  </w:t>
      </w:r>
    </w:p>
    <w:p w:rsidR="005E679B" w:rsidRPr="00281E50" w:rsidRDefault="005E679B"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Annually, on or before June 8th, the tax collector shall publish a notice of power and intent to sell all property that will be tax defaulted for one of the following:</w:t>
      </w:r>
    </w:p>
    <w:p w:rsidR="005E679B" w:rsidRPr="00281E50" w:rsidRDefault="005E679B"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(a) Five years or more on the date specified.</w:t>
      </w:r>
    </w:p>
    <w:p w:rsidR="005E679B" w:rsidRPr="00281E50" w:rsidRDefault="005E679B"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(b) Three or more years on the date specified in the case of residential real property that could serve the public benefit by providing housing or services directly related to low-income persons, for which a request has been made by a city, county, city and county, or nonprofit organization, pursuant to Section 3692.4, to offer that property at the next scheduled public auction.</w:t>
      </w:r>
    </w:p>
    <w:p w:rsidR="005E679B" w:rsidRPr="00281E50" w:rsidRDefault="005E679B" w:rsidP="00281E50">
      <w:pPr>
        <w:shd w:val="clear" w:color="auto" w:fill="FFFFFF"/>
        <w:spacing w:after="120"/>
        <w:jc w:val="both"/>
        <w:textAlignment w:val="baseline"/>
        <w:rPr>
          <w:color w:val="333333"/>
          <w:sz w:val="22"/>
          <w:szCs w:val="22"/>
          <w:bdr w:val="none" w:sz="0" w:space="0" w:color="auto" w:frame="1"/>
        </w:rPr>
      </w:pPr>
      <w:proofErr w:type="gramStart"/>
      <w:r w:rsidRPr="00281E50">
        <w:rPr>
          <w:color w:val="333333"/>
          <w:sz w:val="22"/>
          <w:szCs w:val="22"/>
          <w:bdr w:val="none" w:sz="0" w:space="0" w:color="auto" w:frame="1"/>
        </w:rPr>
        <w:t>(c) Three years or more in the case of nonresidential commercial property, as defined in Section 3691, in an applicable county, on the date specified.</w:t>
      </w:r>
      <w:proofErr w:type="gramEnd"/>
    </w:p>
    <w:p w:rsidR="005E679B" w:rsidRPr="00281E50" w:rsidRDefault="005E679B" w:rsidP="00281E50">
      <w:pPr>
        <w:shd w:val="clear" w:color="auto" w:fill="FFFFFF"/>
        <w:jc w:val="both"/>
        <w:textAlignment w:val="baseline"/>
        <w:rPr>
          <w:i/>
          <w:iCs/>
          <w:color w:val="333333"/>
          <w:sz w:val="22"/>
          <w:szCs w:val="22"/>
          <w:bdr w:val="none" w:sz="0" w:space="0" w:color="auto" w:frame="1"/>
        </w:rPr>
      </w:pPr>
      <w:r w:rsidRPr="00281E50">
        <w:rPr>
          <w:i/>
          <w:iCs/>
          <w:color w:val="333333"/>
          <w:sz w:val="22"/>
          <w:szCs w:val="22"/>
          <w:bdr w:val="none" w:sz="0" w:space="0" w:color="auto" w:frame="1"/>
        </w:rPr>
        <w:t xml:space="preserve">(Amended by Stats. 2004, Ch. 944, </w:t>
      </w:r>
      <w:proofErr w:type="gramStart"/>
      <w:r w:rsidRPr="00281E50">
        <w:rPr>
          <w:i/>
          <w:iCs/>
          <w:color w:val="333333"/>
          <w:sz w:val="22"/>
          <w:szCs w:val="22"/>
          <w:bdr w:val="none" w:sz="0" w:space="0" w:color="auto" w:frame="1"/>
        </w:rPr>
        <w:t>Sec</w:t>
      </w:r>
      <w:proofErr w:type="gramEnd"/>
      <w:r w:rsidRPr="00281E50">
        <w:rPr>
          <w:i/>
          <w:iCs/>
          <w:color w:val="333333"/>
          <w:sz w:val="22"/>
          <w:szCs w:val="22"/>
          <w:bdr w:val="none" w:sz="0" w:space="0" w:color="auto" w:frame="1"/>
        </w:rPr>
        <w:t>. 1.5. Effective January 1, 2005.)</w:t>
      </w:r>
    </w:p>
    <w:p w:rsidR="00281E50" w:rsidRPr="00281E50" w:rsidRDefault="00281E50" w:rsidP="00281E50">
      <w:pPr>
        <w:shd w:val="clear" w:color="auto" w:fill="FFFFFF"/>
        <w:jc w:val="both"/>
        <w:textAlignment w:val="baseline"/>
        <w:rPr>
          <w:i/>
          <w:iCs/>
          <w:color w:val="333333"/>
          <w:sz w:val="22"/>
          <w:szCs w:val="22"/>
          <w:bdr w:val="none" w:sz="0" w:space="0" w:color="auto" w:frame="1"/>
        </w:rPr>
      </w:pPr>
    </w:p>
    <w:p w:rsidR="00281E50" w:rsidRPr="00281E50" w:rsidRDefault="00281E50" w:rsidP="00281E50">
      <w:pPr>
        <w:shd w:val="clear" w:color="auto" w:fill="FFFFFF"/>
        <w:jc w:val="both"/>
        <w:textAlignment w:val="baseline"/>
        <w:rPr>
          <w:i/>
          <w:iCs/>
          <w:color w:val="333333"/>
          <w:sz w:val="22"/>
          <w:szCs w:val="22"/>
          <w:bdr w:val="none" w:sz="0" w:space="0" w:color="auto" w:frame="1"/>
        </w:rPr>
      </w:pPr>
    </w:p>
    <w:p w:rsidR="00281E50" w:rsidRPr="00281E50" w:rsidRDefault="00281E50" w:rsidP="00281E50">
      <w:pPr>
        <w:pStyle w:val="Heading6"/>
        <w:shd w:val="clear" w:color="auto" w:fill="FFFFFF"/>
        <w:jc w:val="both"/>
        <w:rPr>
          <w:rFonts w:ascii="Times New Roman" w:hAnsi="Times New Roman" w:cs="Times New Roman"/>
          <w:sz w:val="22"/>
          <w:szCs w:val="22"/>
          <w:bdr w:val="none" w:sz="0" w:space="0" w:color="auto" w:frame="1"/>
        </w:rPr>
      </w:pPr>
      <w:r w:rsidRPr="00281E50">
        <w:rPr>
          <w:rFonts w:ascii="Times New Roman" w:hAnsi="Times New Roman" w:cs="Times New Roman"/>
          <w:color w:val="111111"/>
          <w:sz w:val="22"/>
          <w:szCs w:val="22"/>
          <w:bdr w:val="none" w:sz="0" w:space="0" w:color="auto" w:frame="1"/>
        </w:rPr>
        <w:t>3362.  </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The published notice shall show:</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(a) The date of the notice.</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(b) (1) </w:t>
      </w:r>
      <w:proofErr w:type="gramStart"/>
      <w:r w:rsidRPr="00281E50">
        <w:rPr>
          <w:color w:val="333333"/>
          <w:sz w:val="22"/>
          <w:szCs w:val="22"/>
          <w:bdr w:val="none" w:sz="0" w:space="0" w:color="auto" w:frame="1"/>
        </w:rPr>
        <w:t>That</w:t>
      </w:r>
      <w:proofErr w:type="gramEnd"/>
      <w:r w:rsidRPr="00281E50">
        <w:rPr>
          <w:color w:val="333333"/>
          <w:sz w:val="22"/>
          <w:szCs w:val="22"/>
          <w:bdr w:val="none" w:sz="0" w:space="0" w:color="auto" w:frame="1"/>
        </w:rPr>
        <w:t xml:space="preserve"> on July 1, five years or more will have elapsed since the property became tax defaulted; or</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(2) That, on July 1, three years or more in the case of nonresidential commercial property, as defined in Section 3691, in an applicable county will have elapsed since the property became tax defaulted; or</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(3) That, on July 1, in the case of real property that could serve the public benefit by providing housing or services directly related to low-income persons, three years or more have elapsed, and a request has been made by a city, county, city and county, or nonprofit organization, pursuant to Section 3692.4, to offer that property at the next scheduled public auction.</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(c) That, unless sooner redeemed or an installment plan of redemption is initiated, the property will be sold.</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(d) That the power to sell for nonpayment of taxes arises if the property remains tax defaulted at 12:01 a.m. on July 1.</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(e) That if the property is sold for nonpayment of taxes the right of redemption will terminate.</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(f) The official who will furnish all information concerning redemption.</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(g) The fiscal year for which the defaulted taxes were levied.</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(h) A description of the property. The assessments contained in this notice shall be numbered in ascending numerical order.</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w:t>
      </w:r>
      <w:proofErr w:type="spellStart"/>
      <w:r w:rsidRPr="00281E50">
        <w:rPr>
          <w:color w:val="333333"/>
          <w:sz w:val="22"/>
          <w:szCs w:val="22"/>
          <w:bdr w:val="none" w:sz="0" w:space="0" w:color="auto" w:frame="1"/>
        </w:rPr>
        <w:t>i</w:t>
      </w:r>
      <w:proofErr w:type="spellEnd"/>
      <w:r w:rsidRPr="00281E50">
        <w:rPr>
          <w:color w:val="333333"/>
          <w:sz w:val="22"/>
          <w:szCs w:val="22"/>
          <w:bdr w:val="none" w:sz="0" w:space="0" w:color="auto" w:frame="1"/>
        </w:rPr>
        <w:t>) The amount necessary to redeem the property as of the date specified in the publication opposite the description of the property.</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 xml:space="preserve">(j) The name of the </w:t>
      </w:r>
      <w:proofErr w:type="spellStart"/>
      <w:r w:rsidRPr="00281E50">
        <w:rPr>
          <w:color w:val="333333"/>
          <w:sz w:val="22"/>
          <w:szCs w:val="22"/>
          <w:bdr w:val="none" w:sz="0" w:space="0" w:color="auto" w:frame="1"/>
        </w:rPr>
        <w:t>assessee</w:t>
      </w:r>
      <w:proofErr w:type="spellEnd"/>
      <w:r w:rsidRPr="00281E50">
        <w:rPr>
          <w:color w:val="333333"/>
          <w:sz w:val="22"/>
          <w:szCs w:val="22"/>
          <w:bdr w:val="none" w:sz="0" w:space="0" w:color="auto" w:frame="1"/>
        </w:rPr>
        <w:t xml:space="preserve"> on the current roll.</w:t>
      </w:r>
    </w:p>
    <w:p w:rsidR="00281E50" w:rsidRPr="00281E50" w:rsidRDefault="00281E50" w:rsidP="00281E50">
      <w:pPr>
        <w:shd w:val="clear" w:color="auto" w:fill="FFFFFF"/>
        <w:spacing w:after="120"/>
        <w:jc w:val="both"/>
        <w:textAlignment w:val="baseline"/>
        <w:rPr>
          <w:color w:val="333333"/>
          <w:sz w:val="22"/>
          <w:szCs w:val="22"/>
          <w:bdr w:val="none" w:sz="0" w:space="0" w:color="auto" w:frame="1"/>
        </w:rPr>
      </w:pPr>
      <w:r w:rsidRPr="00281E50">
        <w:rPr>
          <w:color w:val="333333"/>
          <w:sz w:val="22"/>
          <w:szCs w:val="22"/>
          <w:bdr w:val="none" w:sz="0" w:space="0" w:color="auto" w:frame="1"/>
        </w:rPr>
        <w:t>(k) The street address of the property, if any, shown on the county assessment records.</w:t>
      </w:r>
    </w:p>
    <w:p w:rsidR="00281E50" w:rsidRPr="00281E50" w:rsidRDefault="00281E50" w:rsidP="00281E50">
      <w:pPr>
        <w:shd w:val="clear" w:color="auto" w:fill="FFFFFF"/>
        <w:jc w:val="both"/>
        <w:textAlignment w:val="baseline"/>
        <w:rPr>
          <w:color w:val="333333"/>
          <w:sz w:val="22"/>
          <w:szCs w:val="22"/>
        </w:rPr>
      </w:pPr>
      <w:r w:rsidRPr="00281E50">
        <w:rPr>
          <w:i/>
          <w:iCs/>
          <w:color w:val="333333"/>
          <w:sz w:val="22"/>
          <w:szCs w:val="22"/>
          <w:bdr w:val="none" w:sz="0" w:space="0" w:color="auto" w:frame="1"/>
        </w:rPr>
        <w:t xml:space="preserve">(Amended by Stats. 2007, Ch. 340, </w:t>
      </w:r>
      <w:proofErr w:type="gramStart"/>
      <w:r w:rsidRPr="00281E50">
        <w:rPr>
          <w:i/>
          <w:iCs/>
          <w:color w:val="333333"/>
          <w:sz w:val="22"/>
          <w:szCs w:val="22"/>
          <w:bdr w:val="none" w:sz="0" w:space="0" w:color="auto" w:frame="1"/>
        </w:rPr>
        <w:t>Sec</w:t>
      </w:r>
      <w:proofErr w:type="gramEnd"/>
      <w:r w:rsidRPr="00281E50">
        <w:rPr>
          <w:i/>
          <w:iCs/>
          <w:color w:val="333333"/>
          <w:sz w:val="22"/>
          <w:szCs w:val="22"/>
          <w:bdr w:val="none" w:sz="0" w:space="0" w:color="auto" w:frame="1"/>
        </w:rPr>
        <w:t>. 5. Effective January 1, 2008.)</w:t>
      </w:r>
    </w:p>
    <w:p w:rsidR="00615251" w:rsidRPr="00281E50" w:rsidRDefault="00615251" w:rsidP="00281E50">
      <w:pPr>
        <w:shd w:val="clear" w:color="auto" w:fill="FFFFFF"/>
        <w:jc w:val="both"/>
        <w:textAlignment w:val="baseline"/>
        <w:rPr>
          <w:rFonts w:eastAsia="Times New Roman"/>
          <w:color w:val="333333"/>
          <w:sz w:val="22"/>
          <w:szCs w:val="22"/>
        </w:rPr>
      </w:pPr>
      <w:r w:rsidRPr="00281E50">
        <w:rPr>
          <w:rFonts w:eastAsia="Times New Roman"/>
          <w:color w:val="333333"/>
          <w:sz w:val="22"/>
          <w:szCs w:val="22"/>
        </w:rPr>
        <w:br/>
        <w:t xml:space="preserve">   </w:t>
      </w:r>
    </w:p>
    <w:sectPr w:rsidR="00615251" w:rsidRPr="00281E50" w:rsidSect="00E95CB7">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0C" w:rsidRDefault="006C790C" w:rsidP="00615251">
      <w:r>
        <w:separator/>
      </w:r>
    </w:p>
  </w:endnote>
  <w:endnote w:type="continuationSeparator" w:id="0">
    <w:p w:rsidR="006C790C" w:rsidRDefault="006C790C" w:rsidP="006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0C" w:rsidRDefault="006C790C" w:rsidP="00615251">
      <w:r>
        <w:separator/>
      </w:r>
    </w:p>
  </w:footnote>
  <w:footnote w:type="continuationSeparator" w:id="0">
    <w:p w:rsidR="006C790C" w:rsidRDefault="006C790C" w:rsidP="0061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51"/>
    <w:rsid w:val="000366E6"/>
    <w:rsid w:val="00065587"/>
    <w:rsid w:val="00281E50"/>
    <w:rsid w:val="00411C12"/>
    <w:rsid w:val="0047206B"/>
    <w:rsid w:val="004A1A42"/>
    <w:rsid w:val="004C1A1C"/>
    <w:rsid w:val="00594B8D"/>
    <w:rsid w:val="005B6000"/>
    <w:rsid w:val="005E679B"/>
    <w:rsid w:val="00615251"/>
    <w:rsid w:val="00662691"/>
    <w:rsid w:val="006C790C"/>
    <w:rsid w:val="006E1069"/>
    <w:rsid w:val="007118E6"/>
    <w:rsid w:val="008259BE"/>
    <w:rsid w:val="00956267"/>
    <w:rsid w:val="00AD07B0"/>
    <w:rsid w:val="00B45327"/>
    <w:rsid w:val="00B70053"/>
    <w:rsid w:val="00CA7F76"/>
    <w:rsid w:val="00CE096B"/>
    <w:rsid w:val="00E9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0316">
      <w:bodyDiv w:val="1"/>
      <w:marLeft w:val="0"/>
      <w:marRight w:val="0"/>
      <w:marTop w:val="0"/>
      <w:marBottom w:val="0"/>
      <w:divBdr>
        <w:top w:val="none" w:sz="0" w:space="0" w:color="auto"/>
        <w:left w:val="none" w:sz="0" w:space="0" w:color="auto"/>
        <w:bottom w:val="none" w:sz="0" w:space="0" w:color="auto"/>
        <w:right w:val="none" w:sz="0" w:space="0" w:color="auto"/>
      </w:divBdr>
    </w:div>
    <w:div w:id="1696080816">
      <w:bodyDiv w:val="1"/>
      <w:marLeft w:val="0"/>
      <w:marRight w:val="0"/>
      <w:marTop w:val="0"/>
      <w:marBottom w:val="0"/>
      <w:divBdr>
        <w:top w:val="single" w:sz="12" w:space="0" w:color="767575"/>
        <w:left w:val="none" w:sz="0" w:space="0" w:color="auto"/>
        <w:bottom w:val="none" w:sz="0" w:space="0" w:color="auto"/>
        <w:right w:val="none" w:sz="0" w:space="0" w:color="auto"/>
      </w:divBdr>
      <w:divsChild>
        <w:div w:id="504057017">
          <w:marLeft w:val="0"/>
          <w:marRight w:val="0"/>
          <w:marTop w:val="0"/>
          <w:marBottom w:val="0"/>
          <w:divBdr>
            <w:top w:val="none" w:sz="0" w:space="0" w:color="auto"/>
            <w:left w:val="none" w:sz="0" w:space="0" w:color="auto"/>
            <w:bottom w:val="none" w:sz="0" w:space="0" w:color="auto"/>
            <w:right w:val="none" w:sz="0" w:space="0" w:color="auto"/>
          </w:divBdr>
          <w:divsChild>
            <w:div w:id="422453908">
              <w:marLeft w:val="0"/>
              <w:marRight w:val="0"/>
              <w:marTop w:val="0"/>
              <w:marBottom w:val="0"/>
              <w:divBdr>
                <w:top w:val="none" w:sz="0" w:space="0" w:color="auto"/>
                <w:left w:val="none" w:sz="0" w:space="0" w:color="auto"/>
                <w:bottom w:val="none" w:sz="0" w:space="0" w:color="auto"/>
                <w:right w:val="none" w:sz="0" w:space="0" w:color="auto"/>
              </w:divBdr>
              <w:divsChild>
                <w:div w:id="569070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9831316">
                      <w:marLeft w:val="300"/>
                      <w:marRight w:val="0"/>
                      <w:marTop w:val="0"/>
                      <w:marBottom w:val="0"/>
                      <w:divBdr>
                        <w:top w:val="none" w:sz="0" w:space="0" w:color="auto"/>
                        <w:left w:val="none" w:sz="0" w:space="0" w:color="auto"/>
                        <w:bottom w:val="none" w:sz="0" w:space="0" w:color="auto"/>
                        <w:right w:val="none" w:sz="0" w:space="0" w:color="auto"/>
                      </w:divBdr>
                      <w:divsChild>
                        <w:div w:id="1056776878">
                          <w:marLeft w:val="0"/>
                          <w:marRight w:val="0"/>
                          <w:marTop w:val="0"/>
                          <w:marBottom w:val="0"/>
                          <w:divBdr>
                            <w:top w:val="none" w:sz="0" w:space="0" w:color="auto"/>
                            <w:left w:val="none" w:sz="0" w:space="0" w:color="auto"/>
                            <w:bottom w:val="none" w:sz="0" w:space="0" w:color="auto"/>
                            <w:right w:val="none" w:sz="0" w:space="0" w:color="auto"/>
                          </w:divBdr>
                          <w:divsChild>
                            <w:div w:id="1429041408">
                              <w:marLeft w:val="0"/>
                              <w:marRight w:val="0"/>
                              <w:marTop w:val="0"/>
                              <w:marBottom w:val="0"/>
                              <w:divBdr>
                                <w:top w:val="none" w:sz="0" w:space="0" w:color="auto"/>
                                <w:left w:val="none" w:sz="0" w:space="0" w:color="auto"/>
                                <w:bottom w:val="none" w:sz="0" w:space="0" w:color="auto"/>
                                <w:right w:val="none" w:sz="0" w:space="0" w:color="auto"/>
                              </w:divBdr>
                              <w:divsChild>
                                <w:div w:id="308707202">
                                  <w:marLeft w:val="0"/>
                                  <w:marRight w:val="0"/>
                                  <w:marTop w:val="0"/>
                                  <w:marBottom w:val="0"/>
                                  <w:divBdr>
                                    <w:top w:val="none" w:sz="0" w:space="0" w:color="auto"/>
                                    <w:left w:val="none" w:sz="0" w:space="0" w:color="auto"/>
                                    <w:bottom w:val="none" w:sz="0" w:space="0" w:color="auto"/>
                                    <w:right w:val="none" w:sz="0" w:space="0" w:color="auto"/>
                                  </w:divBdr>
                                  <w:divsChild>
                                    <w:div w:id="1012999771">
                                      <w:marLeft w:val="0"/>
                                      <w:marRight w:val="0"/>
                                      <w:marTop w:val="0"/>
                                      <w:marBottom w:val="0"/>
                                      <w:divBdr>
                                        <w:top w:val="none" w:sz="0" w:space="0" w:color="auto"/>
                                        <w:left w:val="none" w:sz="0" w:space="0" w:color="auto"/>
                                        <w:bottom w:val="none" w:sz="0" w:space="0" w:color="auto"/>
                                        <w:right w:val="none" w:sz="0" w:space="0" w:color="auto"/>
                                      </w:divBdr>
                                      <w:divsChild>
                                        <w:div w:id="40329565">
                                          <w:marLeft w:val="0"/>
                                          <w:marRight w:val="0"/>
                                          <w:marTop w:val="0"/>
                                          <w:marBottom w:val="0"/>
                                          <w:divBdr>
                                            <w:top w:val="none" w:sz="0" w:space="0" w:color="auto"/>
                                            <w:left w:val="none" w:sz="0" w:space="0" w:color="auto"/>
                                            <w:bottom w:val="none" w:sz="0" w:space="0" w:color="auto"/>
                                            <w:right w:val="none" w:sz="0" w:space="0" w:color="auto"/>
                                          </w:divBdr>
                                        </w:div>
                                        <w:div w:id="575671218">
                                          <w:marLeft w:val="0"/>
                                          <w:marRight w:val="0"/>
                                          <w:marTop w:val="0"/>
                                          <w:marBottom w:val="0"/>
                                          <w:divBdr>
                                            <w:top w:val="none" w:sz="0" w:space="0" w:color="auto"/>
                                            <w:left w:val="none" w:sz="0" w:space="0" w:color="auto"/>
                                            <w:bottom w:val="none" w:sz="0" w:space="0" w:color="auto"/>
                                            <w:right w:val="none" w:sz="0" w:space="0" w:color="auto"/>
                                          </w:divBdr>
                                          <w:divsChild>
                                            <w:div w:id="1180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7335">
      <w:bodyDiv w:val="1"/>
      <w:marLeft w:val="0"/>
      <w:marRight w:val="0"/>
      <w:marTop w:val="0"/>
      <w:marBottom w:val="0"/>
      <w:divBdr>
        <w:top w:val="single" w:sz="12" w:space="0" w:color="767575"/>
        <w:left w:val="none" w:sz="0" w:space="0" w:color="auto"/>
        <w:bottom w:val="none" w:sz="0" w:space="0" w:color="auto"/>
        <w:right w:val="none" w:sz="0" w:space="0" w:color="auto"/>
      </w:divBdr>
      <w:divsChild>
        <w:div w:id="1479612808">
          <w:marLeft w:val="0"/>
          <w:marRight w:val="0"/>
          <w:marTop w:val="0"/>
          <w:marBottom w:val="0"/>
          <w:divBdr>
            <w:top w:val="none" w:sz="0" w:space="0" w:color="auto"/>
            <w:left w:val="none" w:sz="0" w:space="0" w:color="auto"/>
            <w:bottom w:val="none" w:sz="0" w:space="0" w:color="auto"/>
            <w:right w:val="none" w:sz="0" w:space="0" w:color="auto"/>
          </w:divBdr>
          <w:divsChild>
            <w:div w:id="2069188192">
              <w:marLeft w:val="0"/>
              <w:marRight w:val="0"/>
              <w:marTop w:val="0"/>
              <w:marBottom w:val="0"/>
              <w:divBdr>
                <w:top w:val="none" w:sz="0" w:space="0" w:color="auto"/>
                <w:left w:val="none" w:sz="0" w:space="0" w:color="auto"/>
                <w:bottom w:val="none" w:sz="0" w:space="0" w:color="auto"/>
                <w:right w:val="none" w:sz="0" w:space="0" w:color="auto"/>
              </w:divBdr>
              <w:divsChild>
                <w:div w:id="4922585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22759994">
                      <w:marLeft w:val="300"/>
                      <w:marRight w:val="0"/>
                      <w:marTop w:val="0"/>
                      <w:marBottom w:val="0"/>
                      <w:divBdr>
                        <w:top w:val="none" w:sz="0" w:space="0" w:color="auto"/>
                        <w:left w:val="none" w:sz="0" w:space="0" w:color="auto"/>
                        <w:bottom w:val="none" w:sz="0" w:space="0" w:color="auto"/>
                        <w:right w:val="none" w:sz="0" w:space="0" w:color="auto"/>
                      </w:divBdr>
                      <w:divsChild>
                        <w:div w:id="396586435">
                          <w:marLeft w:val="0"/>
                          <w:marRight w:val="0"/>
                          <w:marTop w:val="0"/>
                          <w:marBottom w:val="0"/>
                          <w:divBdr>
                            <w:top w:val="none" w:sz="0" w:space="0" w:color="auto"/>
                            <w:left w:val="none" w:sz="0" w:space="0" w:color="auto"/>
                            <w:bottom w:val="none" w:sz="0" w:space="0" w:color="auto"/>
                            <w:right w:val="none" w:sz="0" w:space="0" w:color="auto"/>
                          </w:divBdr>
                          <w:divsChild>
                            <w:div w:id="353504060">
                              <w:marLeft w:val="0"/>
                              <w:marRight w:val="0"/>
                              <w:marTop w:val="0"/>
                              <w:marBottom w:val="0"/>
                              <w:divBdr>
                                <w:top w:val="none" w:sz="0" w:space="0" w:color="auto"/>
                                <w:left w:val="none" w:sz="0" w:space="0" w:color="auto"/>
                                <w:bottom w:val="none" w:sz="0" w:space="0" w:color="auto"/>
                                <w:right w:val="none" w:sz="0" w:space="0" w:color="auto"/>
                              </w:divBdr>
                              <w:divsChild>
                                <w:div w:id="1324695754">
                                  <w:marLeft w:val="0"/>
                                  <w:marRight w:val="0"/>
                                  <w:marTop w:val="0"/>
                                  <w:marBottom w:val="0"/>
                                  <w:divBdr>
                                    <w:top w:val="none" w:sz="0" w:space="0" w:color="auto"/>
                                    <w:left w:val="none" w:sz="0" w:space="0" w:color="auto"/>
                                    <w:bottom w:val="none" w:sz="0" w:space="0" w:color="auto"/>
                                    <w:right w:val="none" w:sz="0" w:space="0" w:color="auto"/>
                                  </w:divBdr>
                                  <w:divsChild>
                                    <w:div w:id="1795100431">
                                      <w:marLeft w:val="0"/>
                                      <w:marRight w:val="0"/>
                                      <w:marTop w:val="0"/>
                                      <w:marBottom w:val="0"/>
                                      <w:divBdr>
                                        <w:top w:val="none" w:sz="0" w:space="0" w:color="auto"/>
                                        <w:left w:val="none" w:sz="0" w:space="0" w:color="auto"/>
                                        <w:bottom w:val="none" w:sz="0" w:space="0" w:color="auto"/>
                                        <w:right w:val="none" w:sz="0" w:space="0" w:color="auto"/>
                                      </w:divBdr>
                                      <w:divsChild>
                                        <w:div w:id="1181821090">
                                          <w:marLeft w:val="0"/>
                                          <w:marRight w:val="0"/>
                                          <w:marTop w:val="0"/>
                                          <w:marBottom w:val="0"/>
                                          <w:divBdr>
                                            <w:top w:val="none" w:sz="0" w:space="0" w:color="auto"/>
                                            <w:left w:val="none" w:sz="0" w:space="0" w:color="auto"/>
                                            <w:bottom w:val="none" w:sz="0" w:space="0" w:color="auto"/>
                                            <w:right w:val="none" w:sz="0" w:space="0" w:color="auto"/>
                                          </w:divBdr>
                                          <w:divsChild>
                                            <w:div w:id="1604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dburnes</dc:creator>
  <cp:lastModifiedBy>Diane Burnes</cp:lastModifiedBy>
  <cp:revision>3</cp:revision>
  <cp:lastPrinted>2014-11-19T17:55:00Z</cp:lastPrinted>
  <dcterms:created xsi:type="dcterms:W3CDTF">2017-05-22T22:55:00Z</dcterms:created>
  <dcterms:modified xsi:type="dcterms:W3CDTF">2017-05-22T22:58:00Z</dcterms:modified>
</cp:coreProperties>
</file>